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28 vom 27. Oktober 2025</w:t>
      </w:r>
    </w:p>
    <w:p>
      <w:r>
        <w:t>VS Kantonsgericht, 2025-10-27, FR</w:t>
      </w:r>
    </w:p>
    <w:p>
      <w:r>
        <w:rPr>
          <w:b/>
        </w:rPr>
        <w:t xml:space="preserve">Quelle: </w:t>
      </w:r>
      <w:r>
        <w:t>https://mcp.opencaselaw.ch/entscheid/vs_gerichte_S2 24 28</w:t>
      </w:r>
    </w:p>
    <w:p>
      <w:r>
        <w:t>FR: VS_GERICHTE S2 24 28 du 27 octobre 2025</w:t>
      </w:r>
    </w:p>
    <w:p>
      <w:r>
        <w:t>IT: VS_GERICHTE S2 24 28 del 27 ottobre 2025</w:t>
      </w:r>
    </w:p>
    <w:p>
      <w:pPr>
        <w:pStyle w:val="Heading2"/>
      </w:pPr>
      <w:r>
        <w:t>Erwägungen</w:t>
      </w:r>
    </w:p>
    <w:p>
      <w:r>
        <w:rPr>
          <w:b/>
        </w:rPr>
        <w:t>E. 1</w:t>
      </w:r>
    </w:p>
    <w:p>
      <w:r>
        <w:t>Selon l'article 1 alinéa 1 LAMal, les dispositions de la loi fédérale du 6 octobre 2000 sur la partie générale du droit des assurances sociales (LPGA ; RS 830.1) s'appliquent à l'assurance-maladie, à moins que la LAMal n'y déroge expressément. Posté le 10 avril 2024, le présent recours à l’encontre de la décision sur opposition du 11 mars précédent a été interjeté dans le délai légal de trente jours (art. 60 LPGA) et devant le tribunal compétent (art. 56, 57 et 58 LPGA ; art. 81a al. 1 de la loi du 6 octobre 1976 sur la procédure et la juridiction administratives – LPJA ; RS/VS 172.6). Il répond par ailleurs aux autres conditions formelles de recevabilité (art. 61 let. b LPGA), de sorte que la Cour doit entrer en matière.</w:t>
      </w:r>
    </w:p>
    <w:p>
      <w:r>
        <w:rPr>
          <w:b/>
        </w:rPr>
        <w:t>E. 2.1</w:t>
      </w:r>
    </w:p>
    <w:p>
      <w:r>
        <w:t>Le litige porte sur le droit de l’intimée de refuser d’allouer des indemnités journalières au recourant au-delà du 5 janvier 2024 et plus particulièrement sur la situation médicale de ce dernier à partir de cette date.</w:t>
      </w:r>
    </w:p>
    <w:p>
      <w:r>
        <w:rPr>
          <w:b/>
        </w:rPr>
        <w:t>E. 2.2</w:t>
      </w:r>
    </w:p>
    <w:p>
      <w:r>
        <w:t>Conformément à son article 1a alinéa 1, la LAMal régit l’assurance-maladie sociale. Celle-ci comprend l’assurance obligatoire de soins et une assurance facultative d’indemnités journalières. Par maladie au sens de l'article 3 LPGA, on entend toute atteinte à la santé physique, mentale ou psychique qui n’est pas due à un accident et qui exige un examen ou un traitement médical ou provoque une incapacité de travail. L'article 67 LAMal prévoit que toute personne domiciliée en Suisse ou qui y exerce une activité lucrative, âgée de 15 ans révolus, mais qui n'a pas atteint 65 ans, peut conclure une assurance d'indemnités journalières (al. 1). Celle-ci peut être convenue sous la forme d'un contrat individuel ou collectif (al. 3). Aux termes de l’article 72 alinéa 2 LAMal, le droit aux indemnités journalières prend naissance lorsque l’assuré a une capacité de travail réduite au moins de moitié (art. 6 LPGA). Est considéré comme incapable de travailler l'assuré qui, à la suite d'une atteinte</w:t>
      </w:r>
    </w:p>
    <w:p>
      <w:r>
        <w:t>- 7 - à la santé, ne peut plus exercer son activité habituelle ou ne peut l'exercer que d'une manière limitée ou encore avec le risque d'aggraver son état (ATF 129 V 51 consid. 1.1 p. 53 ; EUGSTER, Krankenversicherung, in: Schweizerisches Bundesverwaltungsrecht [SBVR], Soziale Sicherheit, 2ème édition, Bâle 2007, p. 783 ch. 1124).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(RAMA 2005 KV 342 p. 356 ; ATF 114 V 281 consid. 1c p. 283 ; cf. également EUGSTER, ibidem).</w:t>
      </w:r>
    </w:p>
    <w:p>
      <w:r>
        <w:rPr>
          <w:b/>
        </w:rPr>
        <w:t>E. 2.3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L’élément déterminant pour la valeur probante n'est ni l'origine du moyen de preuve ni sa désignation comme rapport ou comme expertise, mais bel et bien son contenu (ATF 143 V 124 consid. 2.2.2 et 125 V 351 consid. 3a ainsi que les références ; VSI 2001 p. 108 consid. 3a).</w:t>
      </w:r>
    </w:p>
    <w:p>
      <w:r>
        <w:rPr>
          <w:b/>
        </w:rPr>
        <w:t>E. 2.4</w:t>
      </w:r>
    </w:p>
    <w:p>
      <w:r>
        <w:t>Afin de permettre un contrôle du caractère économique du traitement et de la qualité des prestations, qui sont deux des objectifs fondamentaux de la LAMal, celle-ci attribue un rôle important aux médecins-conseils des assureurs pour le contrôle des prestations et des frais (cf. message du Conseil fédéral concernant la révision de l'assurance- maladie du 6 novembre 1991, FF 1992 I 172). A ce titre, le médecin-conseil est un organe d'application de l'assurance-maladie sociale. Son rôle vise notamment à éviter aux assureurs la prise en charge de mesures inutiles. Le médecin-conseil est aussi à</w:t>
      </w:r>
    </w:p>
    <w:p>
      <w:r>
        <w:t>- 8 - même d'offrir à l'assuré une certaine protection contre un éventuel refus injustifié de l'assureur de verser des prestations. Le médecin-conseil donne son avis à l'assureur sur des questions médicales ainsi que sur des questions relatives à la rémunération et à l'application de tarifs ; il examine en particulier si les conditions d'une prise en charge d'une prestation sont remplies (art. 57 al. 4 LAMal). Il évalue les cas en toute indépendance ; ni l'assureur ni le fournisseur de prestations ni leurs fédérations ne peuvent lui donner de directives (art. 57 al. 5 LAMal).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125 V 351 consid. 3a, 122 V 157 consid. 1c et les références citées ; v. aussi, en matière d’expertise psychiatrique, ATF 148 V 49 consid. 6.2.1).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différence consacrée par la jurisprudence entre un mandat thérapeutique et un mandat d'expertise (ATF 124 I 170 consid. 4, arrêt du Tribunal fédéral I 514/06 du 25 mai 2007 consid. 2.2.1, in :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(ATF 124 I 170 consid. 4a et arrêt du Tribunal fédéral 9C_369/2008 du 5 mars 2009 consid. 2.2).</w:t>
      </w:r>
    </w:p>
    <w:p>
      <w:r>
        <w:rPr>
          <w:b/>
        </w:rPr>
        <w:t>E. 2.5</w:t>
      </w:r>
    </w:p>
    <w:p>
      <w:r>
        <w:t>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 du Tribunal fédéral 8C_841/2016 du 30 novembre 2017 consid. 4.5.2).</w:t>
      </w:r>
    </w:p>
    <w:p>
      <w:r>
        <w:t>- 9 - Un expert psychiatre doit se voir reconnaître une certaine marge d’appréciation dans l’évaluation de l’incapacité de travail dès lors qu’un tel examen médical est par essence en partie une question d’appréciation (ATF 145 V 361 consid. 4.1.2, 137 V 210 consid. 3.4.2.3 et 130 V 352 consid. 2.2.4).</w:t>
      </w:r>
    </w:p>
    <w:p>
      <w:r>
        <w:rPr>
          <w:b/>
        </w:rPr>
        <w:t>E. 2.6</w:t>
      </w:r>
    </w:p>
    <w:p>
      <w:r>
        <w:t>En l’occurrence, la décision de l’intimée se fonde principalement sur l’avis de la Dresse F _________, spécialiste FMH en psychiatrie et psychothérapie, lequel a été confirmé par le Dr G _________, médecin-conseil, pour retenir qu’une pleine capacité de travail avait été recouvrée par le recourant dans son activité habituelle de logisticien dès le 6 janvier 2024, soit postérieurement à l’expertise de la Dresse F _________. Ce dernier considère quant à lui que cette expertise ne respecte pas les critères jurisprudentiels permettant de lui reconnaître une valeur probante et que l’avis du Dr H _________ et de la psychologue J _________, selon lesquels il serait encore en incapacité de travail, n’a pas suffisamment été pris en compte.</w:t>
      </w:r>
    </w:p>
    <w:p>
      <w:r>
        <w:rPr>
          <w:b/>
        </w:rPr>
        <w:t>E. 2.6.1</w:t>
      </w:r>
    </w:p>
    <w:p>
      <w:r>
        <w:t>A la lecture de l’expertise psychiatrique du 21 novembre 2023 de la Dresse F _________, force est de constater que celle-ci répond entièrement aux conditions jurisprudentielles pour lui reconnaître une pleine valeur probante. En particulier, l’experte s’est fondée sur les pièces médicales au dossier, notamment l’avis du 10 juillet 2023 du Dr D _________ et de la Dresse E _________, spécialistes en psychiatrie et psychothérapie C _________, ayant justifié d’entrer en matière sur la nouvelle demande de prestations AI, puis a établi une anamnèse, avant de décrire de manière détaillée les plaintes du recourant et sa journée type. La Dresse F _________ a ensuite procédé à un examen clinique complet permettant d’arrêter un diagnostic sur la base de constatations objectives, après avoir discuté les diagnostics posés par les médecins C _________. Enfin, les conclusions de l’experte ont été énoncées de manière motivée et cohérente (cf. expertise du 21 novembre 2023, pièce OAI 100). Dans un rapport complémentaire du 15 avril 2024, la Dresse F _________ a en outre pris position sur l’avis du 26 mars 2023 de la psychologue J _________, que le Dr H _________ n’a fait que confirmer dans son attestation non datée, et expliqué de manière précise pour quelles raisons celui-ci ne modifiait pas les conclusions de son expertise, comme cela sera développé ci-dessous (cf. rapport complémentaire du 15 avril 2024, pièce OAI 76). A l’examen des indicateurs appartenant à la catégorie « degré de gravité fonctionnel », formant le socle de base (ATF 141 V 281 consid. 4.3), l’on observe que l’experte psychiatre a analysé les critères de gravité conformément aux réquisits jurisprudentiels. Elle a d’abord dûment motivé le diagnostic non incapacitant qu’elle a retenu (comportements impulsifs et compulsifs à l’adolescence avec de fortes consommations</w:t>
      </w:r>
    </w:p>
    <w:p>
      <w:r>
        <w:t>- 10 - d’alcool et de cannabis, troubles de l’image de soi avec des troubles des conduites alimentaires, attaques de panique et troubles anxieux en début de mise en incapacité de travail, questionnements existentiels, isolement, difficulté à communiquer avec autrui, pas de vie de couple ni de réseau d’amis, activités de loisirs en solitaire, hypersensibilité, le tout permettant de retenir des traits de personnalité particuliers, de type schizoïde et anxieux). L’experte a de plus clairement expliqué pour quelles raisons elle ne retenait pas les diagnostics d’épisode dépressif moyen (trouble ancien, évaluation objective au jour de l’expertise qui n’a permis de retenir aucun des critères diagnostic selon la CIM 10, prise en charge très en-dessous de la prise en charge habituelle de ce type de trouble, traitement proposé pris de façon très ponctuelle), de TDAH (trouble non confirmé par le bilan neurologique effectué en mars 2024) et de TSA (traits de personnalité pathologique de type schizoïdes et anxieux objectivés correspondant à la définition de symptômes d’allure autistique, diagnostique de TSA de niveau 1 non contradictoire avec le trouble de la personnalité sans précision, avec des traits schizoïdes et évitants, posé, TSA souvent retenu à l’âge adulte dans le cadre d’un diagnostic de personnalité pathologique). L’experte a ensuite indiqué que de nombreuses ressources avaient été conservées par le recourant (assuré autonome et indépendant, vit seul, a tenté de faire une formation professionnelle en début d’année 2023, se décrit comme affirmé au travail et engagé dans son activité), ce qui n’a d’ailleurs pas été remis en cause par l’intéressé. Sous l’angle de l’examen de la catégorie « cohérence » (ATF 141 V 281 consid. 4.4), l’on note que l’expert a estimé qu’il n’existait aucune limitation fonctionnelle dans l’activité professionnelle habituelle. Il est relevé à cet égard les ressources importantes ayant été conservées, énumérées ci-dessus, et permettant au recourant de maintenir différentes activités telles que décrites dans le déroulement de sa journée type (faire le ménage, passer l’aspirateur, faire les courses, marcher durant environ 45 minutes, jouer aux jeux vidéo et sur son téléphone, voir sa mère régulièrement).</w:t>
      </w:r>
    </w:p>
    <w:p>
      <w:r>
        <w:rPr>
          <w:b/>
        </w:rPr>
        <w:t>E. 2.6.2</w:t>
      </w:r>
    </w:p>
    <w:p>
      <w:r>
        <w:t>Le recourant se prévaut quant à lui des avis de la psychologue J _________, posant le diagnostic de TSA de niveau 1, et du Dr H _________, spécialiste en psychiatrie et psychothérapie C _________, estimant notamment que le diagnostic de TSA expliquait les difficultés de son patient et nécessitait l’intervention de l’AI afin de définir le futur professionnel de ce dernier, tout effort de se réinsérer seul ou avec l’aide du chômage sur le premier marché du travail étant futile. Les avis de ces spécialistes sont toutefois insuffisants pour mettre en doute les conclusions de l’experte psychiatre. En effet, il a été démontré ci-dessus (cf. supra consid. 3.2.1) que l’expertise psychiatrique respectait en tous points les exigences</w:t>
      </w:r>
    </w:p>
    <w:p>
      <w:r>
        <w:t>- 11 - jurisprudentielles et bénéficiait d’une pleine valeur probante. Or, il ne se justifie de s’écarter d’une expertise que si celle-ci contient des contradictions manifestes ou ignore des éléments essentiels, le simple fait qu’un ou plusieurs avis médicaux divergents ont été produits ne suffisant pas à remettre en cause la valeur probante d’une expertise médicale. Ainsi, les avis de la psychologue J _________, dont le diagnostic a été écarté de manière dûment motivée par l’experte, et du Dr H _________, lequel n’a fait que confirmer le diagnostic relevé par la psychologue, ne suffisent pas à remettre en doute les conclusions de la Dresse F _________, étant au demeurant précisé que – contrairement à ce qu’affirme le recourant, ni la psychologue J _________ ni le Dr H _________ ne se sont déterminés sur sa capacité de travail résiduelle. La Cour rappelle en outre à cet égard que selon la jurisprudence relative aux rapports émanant des médecins traitants (cf. supra consid. 2.3), ce qui est à tout le moins le cas du Dr H _________, ces derniers ont tendance à se prononcer en cas de doute plutôt en faveur de leurs patients et que leurs rapports n'aboutissent généralement pas à une appréciation objective de l'état de santé permettant de trancher la question des prestations d'assurance de façon concluante, de sorte qu’ils ne sauraient à eux seuls prévaloir. En tout état de cause, la Cour ajoute que le Dr G _________ a expliqué de façon claire et détaillée pour quelle raison les rapports du Dr H _________ et de la psychologue J _________ ne pouvaient pas être suivis, à savoir parce qu’ils étaient lacunaires (pas de confirmation par un médecin du diagnostic selon une classification actuellement en vigueur, pas d’informations sur les traitements mis en œuvre ainsi que ceux à mettre en œuvre, pas d’analyse des ressources, pas d’informations claires sur les limitations fonctionnelles spécifiquement liées au trouble, pas d’explications sur la façon dont ces limitations impacteraient la capacité de travail dans l’activité habituelle de logisticien, pas de détermination de la capacité de travail dans une activité adaptée). Le Dr G _________ a de plus rappelé que la simple existence d’un trouble ou d’une maladie n’entraînait pas automatiquement une incapacité de travail dans une profession, mais qu’il fallait analyser concrètement l’implication des troubles par rapport à l’activité réelle de l’assuré.</w:t>
      </w:r>
    </w:p>
    <w:p>
      <w:r>
        <w:rPr>
          <w:b/>
        </w:rPr>
        <w:t>E. 2.6.3</w:t>
      </w:r>
    </w:p>
    <w:p>
      <w:r>
        <w:t>Partant, de l’avis de la Cour de céans, les conclusions de la Dresse F _________, confirmées par le Dr G _________, doivent être suivies, le recourant ayant à raison été considéré comme apte à travailler à 100% dès le 6 janvier 2024, soit postérieurement à l’expertise de la Dresse F _________. Il n’est ainsi pas nécessaire de mettre en œuvre une nouvelle expertise, étant rappelé qu'il est de jurisprudence constante que, si</w:t>
      </w:r>
    </w:p>
    <w:p>
      <w:r>
        <w:t>- 12 -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(sur l'appréciation anticipée des preuves, voir ATF 147 I 167 consid. 4.1 et 124 V 90 consid. 4b). Une telle manière de procéder ne viole pas le droit d'être entendu (art. 9 Cst ; ATF 141 I 60 consid. 3.3 ; 136 I 229 consid. 5.3 et les arrêts cités). Pour les mêmes motifs, la Cour renonce à procéder à l’interrogatoire du recourant et de l’intimée ainsi qu’à l’audition de la Dresse K _________, de Monsieur L _________ et de Madame M _________.</w:t>
      </w:r>
    </w:p>
    <w:p>
      <w:r>
        <w:rPr>
          <w:b/>
        </w:rPr>
        <w:t>E. 3</w:t>
      </w:r>
    </w:p>
    <w:p>
      <w:r>
        <w:t>Mal fondé, le recours est rejeté et la décision sur opposition du 11 mars 2024 confirmée.</w:t>
      </w:r>
    </w:p>
    <w:p>
      <w:r>
        <w:rPr>
          <w:b/>
        </w:rPr>
        <w:t>E. 4</w:t>
      </w:r>
    </w:p>
    <w:p>
      <w:r>
        <w:t>Il n’est pas perçu de frais judiciaires, la loi spéciale, en l’occurrence la LAMal, n’en prévoyant pas le prélèvement (art. 61 let. fbis LPGA). Vu l’issue de la cause, il n’est pas non plus alloué de dépens (art. 61 let. g a contrario LPGA).</w:t>
      </w:r>
    </w:p>
    <w:p>
      <w:r>
        <w:t>Prononce</w:t>
      </w:r>
    </w:p>
    <w:p>
      <w:r>
        <w:t>1. Le recours est rejeté. 2. Il n'est pas perçu de frais, ni alloué de dépens. Sion, le 27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